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CA4211">
      <w:pPr>
        <w:pStyle w:val="1"/>
      </w:pPr>
      <w:r>
        <w:fldChar w:fldCharType="begin"/>
      </w:r>
      <w:r>
        <w:instrText>HYPERLINK "garantF1://70012744.0"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культуры РФ от 3 октября 2011 г. N 954</w:t>
      </w:r>
      <w:r>
        <w:rPr>
          <w:rStyle w:val="a4"/>
          <w:b w:val="0"/>
          <w:bCs w:val="0"/>
        </w:rPr>
        <w:br/>
        <w:t>"Об утверждении Положения о едином государственном реестре объектов культурного наследия (памятников истории и культуры) нар</w:t>
      </w:r>
      <w:r>
        <w:rPr>
          <w:rStyle w:val="a4"/>
          <w:b w:val="0"/>
          <w:bCs w:val="0"/>
        </w:rPr>
        <w:t>одов Российской Федерации"</w:t>
      </w:r>
      <w:r>
        <w:fldChar w:fldCharType="end"/>
      </w:r>
    </w:p>
    <w:p w:rsidR="00000000" w:rsidRDefault="00CA4211"/>
    <w:p w:rsidR="00000000" w:rsidRDefault="00CA4211">
      <w:r>
        <w:t xml:space="preserve">В целях реализации </w:t>
      </w:r>
      <w:hyperlink r:id="rId5" w:history="1">
        <w:r>
          <w:rPr>
            <w:rStyle w:val="a4"/>
          </w:rPr>
          <w:t>ст. 15</w:t>
        </w:r>
      </w:hyperlink>
      <w:r>
        <w:t xml:space="preserve"> Федерального закона от 25 июня 2002 г. N </w:t>
      </w:r>
      <w:r>
        <w:t xml:space="preserve">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N 26, ст. 2519; 2003, N 9, ст. 805; 2004, N 35, ст. 3607; 2005, N 23, ст. 2203; 2006, N 1, ст. 10; </w:t>
      </w:r>
      <w:r>
        <w:t>N 52, ст. 5498; 2007, N 1, ст. 21; N 27, ст. 3213; N 43, ст. 5084; N 46, ст. 5554; 2008, N 20, ст. 2251; N 29, ст. 3418; N 30, ст. 3616; 2009, N 51, ст. 6150; 2010, N 43, ст. 5450; N 49, ст. 6424; N 51, ст. 6810; 2011, N 30, ст. 4563; N 45, ст. 6331; N 47,</w:t>
      </w:r>
      <w:r>
        <w:t xml:space="preserve"> ст. 6606) и </w:t>
      </w:r>
      <w:hyperlink r:id="rId6" w:history="1">
        <w:r>
          <w:rPr>
            <w:rStyle w:val="a4"/>
          </w:rPr>
          <w:t>п. 5.2.19</w:t>
        </w:r>
      </w:hyperlink>
      <w:r>
        <w:t xml:space="preserve"> Положения о Министерстве культуры Российской Федерации, утвержденного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20 июля 2011 г. N 590 (Собрание зак</w:t>
      </w:r>
      <w:r>
        <w:t>онодательства Российской Федерации, 2011, N 31, ст. 4758), приказываю:</w:t>
      </w:r>
    </w:p>
    <w:p w:rsidR="00000000" w:rsidRDefault="00CA4211">
      <w:bookmarkStart w:id="1" w:name="sub_1"/>
      <w:r>
        <w:t xml:space="preserve">1. Утвердить прилагаемое </w:t>
      </w:r>
      <w:hyperlink w:anchor="sub_26" w:history="1">
        <w:r>
          <w:rPr>
            <w:rStyle w:val="a4"/>
          </w:rPr>
          <w:t>Положение</w:t>
        </w:r>
      </w:hyperlink>
      <w:r>
        <w:t xml:space="preserve"> о едином государственном реестре объектов культурного наследия (памятников истории и культуры) народов Российской Федерац</w:t>
      </w:r>
      <w:r>
        <w:t>ии.</w:t>
      </w:r>
    </w:p>
    <w:p w:rsidR="00000000" w:rsidRDefault="00CA4211">
      <w:bookmarkStart w:id="2" w:name="sub_2"/>
      <w:bookmarkEnd w:id="1"/>
      <w:r>
        <w:t xml:space="preserve">2. Признать утратившими силу приказы Федеральной службы по надзору за соблюдением законодательства в области охраны культурного наследия </w:t>
      </w:r>
      <w:hyperlink r:id="rId8" w:history="1">
        <w:r>
          <w:rPr>
            <w:rStyle w:val="a4"/>
          </w:rPr>
          <w:t>от 27 февраля 2009 г. N 37</w:t>
        </w:r>
      </w:hyperlink>
      <w:r>
        <w:t xml:space="preserve"> (зарегистрирован Минюстом России 27 апреля 20</w:t>
      </w:r>
      <w:r>
        <w:t xml:space="preserve">09 г., N 13843; Российская газета, 2009, N 92) и </w:t>
      </w:r>
      <w:hyperlink r:id="rId9" w:history="1">
        <w:r>
          <w:rPr>
            <w:rStyle w:val="a4"/>
          </w:rPr>
          <w:t xml:space="preserve">от 21 декабря 2009 г. N 238 </w:t>
        </w:r>
      </w:hyperlink>
      <w:r>
        <w:t>(зарегистрирован Минюстом России 29 января 2010 г., N 16151; Российская газета, 2010, N 36).</w:t>
      </w:r>
    </w:p>
    <w:p w:rsidR="00000000" w:rsidRDefault="00CA4211">
      <w:bookmarkStart w:id="3" w:name="sub_3"/>
      <w:bookmarkEnd w:id="2"/>
      <w:r>
        <w:t>3. Контроль исполнения настоящего приказа о</w:t>
      </w:r>
      <w:r>
        <w:t>ставляю за собой.</w:t>
      </w:r>
    </w:p>
    <w:bookmarkEnd w:id="3"/>
    <w:p w:rsidR="00000000" w:rsidRDefault="00CA421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8"/>
        <w:gridCol w:w="3331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A4211" w:rsidRDefault="00CA4211">
            <w:pPr>
              <w:pStyle w:val="a9"/>
            </w:pPr>
            <w:r w:rsidRPr="00CA4211">
              <w:t>Министр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A4211" w:rsidRDefault="00CA4211">
            <w:pPr>
              <w:pStyle w:val="a8"/>
              <w:jc w:val="right"/>
            </w:pPr>
            <w:r w:rsidRPr="00CA4211">
              <w:t>А.А. Авдеев</w:t>
            </w:r>
          </w:p>
        </w:tc>
      </w:tr>
    </w:tbl>
    <w:p w:rsidR="00000000" w:rsidRDefault="00CA4211"/>
    <w:p w:rsidR="00000000" w:rsidRDefault="00CA4211">
      <w:pPr>
        <w:pStyle w:val="a9"/>
      </w:pPr>
      <w:r>
        <w:t>Зарегистрировано в Минюсте РФ 19 декабря 2011 г.</w:t>
      </w:r>
      <w:r>
        <w:br/>
        <w:t>Регистрационный N 22670</w:t>
      </w:r>
    </w:p>
    <w:p w:rsidR="00000000" w:rsidRDefault="00CA4211"/>
    <w:p w:rsidR="00000000" w:rsidRDefault="00CA4211">
      <w:pPr>
        <w:pStyle w:val="a6"/>
        <w:rPr>
          <w:color w:val="000000"/>
          <w:sz w:val="16"/>
          <w:szCs w:val="16"/>
        </w:rPr>
      </w:pPr>
      <w:bookmarkStart w:id="4" w:name="sub_26"/>
      <w:r>
        <w:rPr>
          <w:color w:val="000000"/>
          <w:sz w:val="16"/>
          <w:szCs w:val="16"/>
        </w:rPr>
        <w:t>Информация об изменениях:</w:t>
      </w:r>
    </w:p>
    <w:bookmarkEnd w:id="4"/>
    <w:p w:rsidR="00000000" w:rsidRDefault="00CA4211">
      <w:pPr>
        <w:pStyle w:val="a7"/>
      </w:pPr>
      <w:r>
        <w:fldChar w:fldCharType="begin"/>
      </w:r>
      <w:r>
        <w:instrText>HYPERLINK "garantF1://71117126.1000"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Минкультуры России от 5 августа 2015 г. N 2150 в п</w:t>
      </w:r>
      <w:r>
        <w:t>риложение внесены изменения</w:t>
      </w:r>
    </w:p>
    <w:p w:rsidR="00000000" w:rsidRDefault="00CA4211">
      <w:pPr>
        <w:pStyle w:val="a7"/>
      </w:pPr>
      <w:hyperlink r:id="rId10" w:history="1">
        <w:r>
          <w:rPr>
            <w:rStyle w:val="a4"/>
          </w:rPr>
          <w:t>См. текст приложения в предыдущей редакции</w:t>
        </w:r>
      </w:hyperlink>
    </w:p>
    <w:p w:rsidR="00000000" w:rsidRDefault="00CA4211">
      <w:pPr>
        <w:ind w:firstLine="698"/>
        <w:jc w:val="right"/>
      </w:pPr>
      <w:r>
        <w:rPr>
          <w:rStyle w:val="a3"/>
        </w:rPr>
        <w:t>Приложение</w:t>
      </w:r>
    </w:p>
    <w:p w:rsidR="00000000" w:rsidRDefault="00CA4211"/>
    <w:p w:rsidR="00000000" w:rsidRDefault="00CA4211">
      <w:pPr>
        <w:pStyle w:val="1"/>
      </w:pPr>
      <w:r>
        <w:t>Положение</w:t>
      </w:r>
      <w:r>
        <w:br/>
        <w:t>о едином государственном реестре объектов культурного наследия (памятников истории и культуры) народов Российской Федерации</w:t>
      </w:r>
      <w:r>
        <w:br/>
        <w:t>(у</w:t>
      </w:r>
      <w:r>
        <w:t xml:space="preserve">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культуры РФ от 3 октября 2011 г. N 954)</w:t>
      </w:r>
    </w:p>
    <w:p w:rsidR="00000000" w:rsidRDefault="00CA4211"/>
    <w:p w:rsidR="00000000" w:rsidRDefault="00CA4211">
      <w:bookmarkStart w:id="5" w:name="sub_4"/>
      <w:r>
        <w:t>1. Настоящее Положение устанавливает общие принципы формирования и ведения единого государственного реестра объектов культурного наследия (памятников истории и к</w:t>
      </w:r>
      <w:r>
        <w:t>ультуры) народов Российской Федерации (далее - Единый реестр).</w:t>
      </w:r>
    </w:p>
    <w:p w:rsidR="00000000" w:rsidRDefault="00CA4211">
      <w:bookmarkStart w:id="6" w:name="sub_5"/>
      <w:bookmarkEnd w:id="5"/>
      <w:r>
        <w:t>2. Единый реестр представляет собой государственную информационную систему, включающую в себя банк данных, единство и сопоставимость которых обеспечиваются за счет общих принципов формирования, методов и формы ведения реестра (</w:t>
      </w:r>
      <w:hyperlink r:id="rId11" w:history="1">
        <w:r>
          <w:rPr>
            <w:rStyle w:val="a4"/>
          </w:rPr>
          <w:t>пункт 2 статьи 15</w:t>
        </w:r>
      </w:hyperlink>
      <w:r>
        <w:t xml:space="preserve"> Федерального закона от 25 июня 2002 г. N 73-ФЗ "Об объектах культурного наследия (памятниках истории и культуры) народов Российской </w:t>
      </w:r>
      <w:r>
        <w:lastRenderedPageBreak/>
        <w:t>Федерации").</w:t>
      </w:r>
    </w:p>
    <w:p w:rsidR="00000000" w:rsidRDefault="00CA4211">
      <w:bookmarkStart w:id="7" w:name="sub_6"/>
      <w:bookmarkEnd w:id="6"/>
      <w:r>
        <w:t>3. Единый реестр ведется Министерством культуры Российской Федерации (дал</w:t>
      </w:r>
      <w:r>
        <w:t>ее - Минкультуры России) на бумажных и электронных носителях.</w:t>
      </w:r>
    </w:p>
    <w:p w:rsidR="00000000" w:rsidRDefault="00CA4211">
      <w:bookmarkStart w:id="8" w:name="sub_10"/>
      <w:bookmarkEnd w:id="7"/>
      <w:r>
        <w:t>4. Основанием для регистрации Минкультуры России объектов культурного наследия в Едином реестре являются решения органов государственной власти о включении объектов культурного наслед</w:t>
      </w:r>
      <w:r>
        <w:t>ия в реестр (решения о принятии объектов культурного наследия на государственную охрану).</w:t>
      </w:r>
    </w:p>
    <w:p w:rsidR="00000000" w:rsidRDefault="00CA4211">
      <w:bookmarkStart w:id="9" w:name="sub_1073"/>
      <w:bookmarkEnd w:id="8"/>
      <w:r>
        <w:t>Представление органами охраны объектов культурного наследия документов, подтверждающих изменение сведений об объектах культурного наследия, зарегистриро</w:t>
      </w:r>
      <w:r>
        <w:t>ванных в Едином реестре, является основанием для внесения Минкультуры России в Единый реестр новых данных об объектах культурного наследия, зарегистрированных в Едином реестре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CA4211">
      <w:bookmarkStart w:id="10" w:name="sub_1074"/>
      <w:bookmarkEnd w:id="9"/>
      <w:r>
        <w:t>Документы (копии документов), предст</w:t>
      </w:r>
      <w:r>
        <w:t>авляемые в Минкультуры России, подписываются (заверяются) собственноручной либо квалифицированной электронной подписью уполномоченного должностного лица органа охраны объектов культурного наследия.</w:t>
      </w:r>
    </w:p>
    <w:p w:rsidR="00000000" w:rsidRDefault="00CA4211">
      <w:bookmarkStart w:id="11" w:name="sub_11"/>
      <w:bookmarkEnd w:id="10"/>
      <w:r>
        <w:t>5. Регистрация Минкультуры России объектов к</w:t>
      </w:r>
      <w:r>
        <w:t>ультурного наследия в Едином реестре осуществляется посредством присвоения объектам культурного наследия регистрационных номеров, состоящих из арабских цифр.</w:t>
      </w:r>
    </w:p>
    <w:bookmarkEnd w:id="11"/>
    <w:p w:rsidR="00000000" w:rsidRDefault="00CA4211">
      <w:r>
        <w:t xml:space="preserve">Регистрационный номер записи, вносимой в Единый реестр, состоит из 15 знаков, расположенных </w:t>
      </w:r>
      <w:r>
        <w:t>в следующей последовательности:</w:t>
      </w:r>
    </w:p>
    <w:p w:rsidR="00000000" w:rsidRDefault="00CA42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52"/>
        <w:gridCol w:w="538"/>
        <w:gridCol w:w="542"/>
        <w:gridCol w:w="552"/>
        <w:gridCol w:w="542"/>
        <w:gridCol w:w="547"/>
        <w:gridCol w:w="542"/>
        <w:gridCol w:w="542"/>
        <w:gridCol w:w="538"/>
        <w:gridCol w:w="542"/>
        <w:gridCol w:w="547"/>
        <w:gridCol w:w="547"/>
        <w:gridCol w:w="542"/>
        <w:gridCol w:w="542"/>
        <w:gridCol w:w="557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С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С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Г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X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X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X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П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К</w:t>
            </w:r>
          </w:p>
        </w:tc>
      </w:tr>
    </w:tbl>
    <w:p w:rsidR="00000000" w:rsidRDefault="00CA4211"/>
    <w:p w:rsidR="00000000" w:rsidRDefault="00CA4211">
      <w:r>
        <w:t xml:space="preserve">СС (с 1-го по 2-й знак) - кодовое обозначение субъекта Российской Федерации, установленное в соответствии с федеративным устройством Российской Федерации, определенным </w:t>
      </w:r>
      <w:hyperlink r:id="rId12" w:history="1">
        <w:r>
          <w:rPr>
            <w:rStyle w:val="a4"/>
          </w:rPr>
          <w:t>статьей 65</w:t>
        </w:r>
      </w:hyperlink>
      <w:r>
        <w:t xml:space="preserve"> Конституции Российской Федерации;</w:t>
      </w:r>
    </w:p>
    <w:p w:rsidR="00000000" w:rsidRDefault="00CA4211">
      <w:r>
        <w:t>ГГ (с 3-го по 4-й знак) - две последние цифры года внесения записи в государственный реестр;</w:t>
      </w:r>
    </w:p>
    <w:p w:rsidR="00000000" w:rsidRDefault="00CA4211">
      <w:r>
        <w:t>В (5-й знак) - подраздел регистрационного номера, характеризующий объект культурн</w:t>
      </w:r>
      <w:r>
        <w:t>ого наследия (памятник - 1; ансамбль - 2; достопримечательное место - 3; объект археологического наследия - 4);</w:t>
      </w:r>
    </w:p>
    <w:p w:rsidR="00000000" w:rsidRDefault="00CA4211">
      <w:bookmarkStart w:id="12" w:name="sub_1087"/>
      <w:r>
        <w:t>ХХХХХХ (с 6-го по 11-й знак) - подраздел регистрационного номера, являющийся неповторимым порядковым номером объекта культурного наследи</w:t>
      </w:r>
      <w:r>
        <w:t>я;</w:t>
      </w:r>
    </w:p>
    <w:bookmarkEnd w:id="12"/>
    <w:p w:rsidR="00000000" w:rsidRDefault="00CA4211">
      <w:r>
        <w:t>ППП (с 12-го по 14-й знак) - подраздел регистрационного номера, обозначающий пообъектный состав объекта культурного наследия;</w:t>
      </w:r>
    </w:p>
    <w:p w:rsidR="00000000" w:rsidRDefault="00CA4211">
      <w:bookmarkStart w:id="13" w:name="sub_1089"/>
      <w:r>
        <w:t>К (15-й знак) - код, характеризующий категорию историко-культурного значения объекта культурного наследия (объе</w:t>
      </w:r>
      <w:r>
        <w:t>кт культурного наследия местного (муниципального) значения - 4; объект культурного наследия регионального значения - 5; объект культурного наследия федерального значения - 6).</w:t>
      </w:r>
    </w:p>
    <w:p w:rsidR="00000000" w:rsidRDefault="00CA4211">
      <w:bookmarkStart w:id="14" w:name="sub_13"/>
      <w:bookmarkEnd w:id="13"/>
      <w:r>
        <w:t xml:space="preserve">6. Документы и сведения, указанные в </w:t>
      </w:r>
      <w:hyperlink r:id="rId13" w:history="1">
        <w:r>
          <w:rPr>
            <w:rStyle w:val="a4"/>
          </w:rPr>
          <w:t>пунктах 2</w:t>
        </w:r>
      </w:hyperlink>
      <w:r>
        <w:t xml:space="preserve"> и </w:t>
      </w:r>
      <w:hyperlink r:id="rId14" w:history="1">
        <w:r>
          <w:rPr>
            <w:rStyle w:val="a4"/>
          </w:rPr>
          <w:t>3 статьи 20</w:t>
        </w:r>
      </w:hyperlink>
      <w:r>
        <w:t xml:space="preserve"> Федерального закона от 25 июня 2002 г. N 73-ФЗ "Об объектах культурного наследия (памятниках истории и культуры) народов Российской Федерации" (Собрание законодательства Российской Фе</w:t>
      </w:r>
      <w:r>
        <w:t>дерации, 2002, N 26, ст. 2519) (далее - Федеральный закон), составляют учетные дела объектов культурного наследия.</w:t>
      </w:r>
    </w:p>
    <w:p w:rsidR="00000000" w:rsidRDefault="00CA4211">
      <w:bookmarkStart w:id="15" w:name="sub_14"/>
      <w:bookmarkEnd w:id="14"/>
      <w:r>
        <w:t>7. Учетные дела объектов культурного наследия подлежат бессрочному хранению в федеральном органе охраны объектов культурного насл</w:t>
      </w:r>
      <w:r>
        <w:t>едия, региональном органе охраны объектов культурного наследия. На основе указанных учетных дел формируются информационные ресурсы реестра, обеспечивающие его автоматизированное ведение.</w:t>
      </w:r>
      <w:hyperlink w:anchor="sub_1112" w:history="1">
        <w:r>
          <w:rPr>
            <w:rStyle w:val="a4"/>
          </w:rPr>
          <w:t>*(1)</w:t>
        </w:r>
      </w:hyperlink>
    </w:p>
    <w:bookmarkEnd w:id="15"/>
    <w:p w:rsidR="00000000" w:rsidRDefault="00CA4211">
      <w:r>
        <w:lastRenderedPageBreak/>
        <w:t>Уничтожение, а также изъятие учет</w:t>
      </w:r>
      <w:r>
        <w:t>ных дел, каких-либо документов из учетных дел или их частей не допускаются.</w:t>
      </w:r>
    </w:p>
    <w:p w:rsidR="00000000" w:rsidRDefault="00CA4211">
      <w:bookmarkStart w:id="16" w:name="sub_15"/>
      <w:r>
        <w:t xml:space="preserve">8. Отчетная документация, сдаваемая при приемке работ по сохранению объекта культурного наследия в орган охраны объектов культурного наследия, подлежит приобщению к учетному </w:t>
      </w:r>
      <w:r>
        <w:t>делу данного объекта культурного наследия.</w:t>
      </w:r>
    </w:p>
    <w:p w:rsidR="00000000" w:rsidRDefault="00CA4211">
      <w:bookmarkStart w:id="17" w:name="sub_16"/>
      <w:bookmarkEnd w:id="16"/>
      <w:r>
        <w:t>9. Физические и юридические лица вправе получать в федеральном органе охраны объектов культурного наследия и в региональном органе охраны объектов культурного наследия выписку из реестра, содержащую св</w:t>
      </w:r>
      <w:r>
        <w:t xml:space="preserve">едения, указанные в </w:t>
      </w:r>
      <w:hyperlink r:id="rId15" w:history="1">
        <w:r>
          <w:rPr>
            <w:rStyle w:val="a4"/>
          </w:rPr>
          <w:t>пункте 2 статьи 20</w:t>
        </w:r>
      </w:hyperlink>
      <w:r>
        <w:t xml:space="preserve"> Федерального закона.</w:t>
      </w:r>
      <w:hyperlink w:anchor="sub_1113" w:history="1">
        <w:r>
          <w:rPr>
            <w:rStyle w:val="a4"/>
          </w:rPr>
          <w:t>*(2)</w:t>
        </w:r>
      </w:hyperlink>
    </w:p>
    <w:p w:rsidR="00000000" w:rsidRDefault="00CA4211">
      <w:bookmarkStart w:id="18" w:name="sub_17"/>
      <w:bookmarkEnd w:id="17"/>
      <w:r>
        <w:t>10. Мониторинг данных об объектах культурного наследия, включенных в реестр, осуществляется региональным органом ох</w:t>
      </w:r>
      <w:r>
        <w:t>раны объектов культурного наследия в целях своевременного изменения данных об объектах культурного наследия, включенных в реестр.</w:t>
      </w:r>
    </w:p>
    <w:bookmarkEnd w:id="18"/>
    <w:p w:rsidR="00000000" w:rsidRDefault="00CA4211">
      <w:r>
        <w:t>Изменения данных об объектах культурного наследия, включенных в реестр, основанные на результатах указанного мониторинга</w:t>
      </w:r>
      <w:r>
        <w:t>, вносятся в реестр федеральным органом охраны объектов культурного наследия.</w:t>
      </w:r>
      <w:hyperlink w:anchor="sub_1114" w:history="1">
        <w:r>
          <w:rPr>
            <w:rStyle w:val="a4"/>
          </w:rPr>
          <w:t>*(3)</w:t>
        </w:r>
      </w:hyperlink>
      <w:r>
        <w:t>.</w:t>
      </w:r>
    </w:p>
    <w:p w:rsidR="00000000" w:rsidRDefault="00CA4211"/>
    <w:p w:rsidR="00000000" w:rsidRDefault="00CA4211">
      <w:pPr>
        <w:ind w:firstLine="0"/>
      </w:pPr>
      <w:r>
        <w:t>_____________________________</w:t>
      </w:r>
    </w:p>
    <w:p w:rsidR="00000000" w:rsidRDefault="00CA4211">
      <w:bookmarkStart w:id="19" w:name="sub_1112"/>
      <w:r>
        <w:t xml:space="preserve">*(1) </w:t>
      </w:r>
      <w:hyperlink r:id="rId16" w:history="1">
        <w:r>
          <w:rPr>
            <w:rStyle w:val="a4"/>
          </w:rPr>
          <w:t>Пункт 7 статьи 20</w:t>
        </w:r>
      </w:hyperlink>
      <w:r>
        <w:t xml:space="preserve"> Федерального закона от 25.06.2002 N </w:t>
      </w:r>
      <w:r>
        <w:t>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N 26, ст. 2519).</w:t>
      </w:r>
    </w:p>
    <w:p w:rsidR="00000000" w:rsidRDefault="00CA4211">
      <w:bookmarkStart w:id="20" w:name="sub_1113"/>
      <w:bookmarkEnd w:id="19"/>
      <w:r>
        <w:t xml:space="preserve">*(2) </w:t>
      </w:r>
      <w:hyperlink r:id="rId17" w:history="1">
        <w:r>
          <w:rPr>
            <w:rStyle w:val="a4"/>
          </w:rPr>
          <w:t>Пункт 1 статьи 26</w:t>
        </w:r>
      </w:hyperlink>
      <w:r>
        <w:t xml:space="preserve"> Феде</w:t>
      </w:r>
      <w:r>
        <w:t>рального закона от 25.06.2002 N 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N 26, ст. 2519).</w:t>
      </w:r>
    </w:p>
    <w:p w:rsidR="00000000" w:rsidRDefault="00CA4211">
      <w:bookmarkStart w:id="21" w:name="sub_1114"/>
      <w:bookmarkEnd w:id="20"/>
      <w:r>
        <w:t xml:space="preserve">*(3) </w:t>
      </w:r>
      <w:hyperlink r:id="rId18" w:history="1">
        <w:r>
          <w:rPr>
            <w:rStyle w:val="a4"/>
          </w:rPr>
          <w:t>Пункты 5 - 6 статьи 20</w:t>
        </w:r>
      </w:hyperlink>
      <w:r>
        <w:t xml:space="preserve"> Федерального закона от 25.06.2002 N 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N 26, ст. 2519).</w:t>
      </w:r>
    </w:p>
    <w:p w:rsidR="00000000" w:rsidRDefault="00CA4211">
      <w:bookmarkStart w:id="22" w:name="sub_1111"/>
      <w:bookmarkEnd w:id="21"/>
      <w:r>
        <w:t>* В случае изменения местонахождения (адреса) объекта культурного наследия подтверждение сведений о местонахождении (адресе) предоставляется уполномоченными на то органами (организациями).</w:t>
      </w:r>
    </w:p>
    <w:bookmarkEnd w:id="22"/>
    <w:p w:rsidR="00000000" w:rsidRDefault="00CA4211"/>
    <w:p w:rsidR="00000000" w:rsidRDefault="00CA4211">
      <w:pPr>
        <w:ind w:firstLine="698"/>
        <w:jc w:val="right"/>
      </w:pPr>
      <w:bookmarkStart w:id="23" w:name="sub_27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26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</w:t>
      </w:r>
      <w:r>
        <w:rPr>
          <w:rStyle w:val="a3"/>
        </w:rPr>
        <w:t>Едином реестре</w:t>
      </w:r>
    </w:p>
    <w:bookmarkEnd w:id="23"/>
    <w:p w:rsidR="00000000" w:rsidRDefault="00CA42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0"/>
        <w:gridCol w:w="240"/>
        <w:gridCol w:w="240"/>
        <w:gridCol w:w="236"/>
        <w:gridCol w:w="269"/>
        <w:gridCol w:w="240"/>
        <w:gridCol w:w="240"/>
        <w:gridCol w:w="254"/>
        <w:gridCol w:w="240"/>
        <w:gridCol w:w="240"/>
        <w:gridCol w:w="269"/>
        <w:gridCol w:w="254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</w:tbl>
    <w:p w:rsidR="00000000" w:rsidRDefault="00CA4211">
      <w:pPr>
        <w:ind w:firstLine="698"/>
        <w:jc w:val="right"/>
      </w:pPr>
      <w:r>
        <w:t>Регистрационный номер учетной карты</w:t>
      </w:r>
    </w:p>
    <w:p w:rsidR="00000000" w:rsidRDefault="00CA4211"/>
    <w:p w:rsidR="00000000" w:rsidRDefault="00CA4211">
      <w:pPr>
        <w:pStyle w:val="1"/>
      </w:pPr>
      <w: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000000" w:rsidRDefault="00CA4211"/>
    <w:p w:rsidR="00000000" w:rsidRDefault="00CA4211">
      <w:pPr>
        <w:pStyle w:val="1"/>
      </w:pPr>
      <w:r>
        <w:t>УЧЕТНАЯ КАРТА</w:t>
      </w:r>
      <w:r>
        <w:br/>
      </w:r>
      <w:r>
        <w:t>объекта, представляющего собой историко-культурную ценность</w:t>
      </w:r>
    </w:p>
    <w:p w:rsidR="00000000" w:rsidRDefault="00CA4211"/>
    <w:p w:rsidR="00000000" w:rsidRDefault="00CA4211">
      <w:bookmarkStart w:id="24" w:name="sub_18"/>
      <w:r>
        <w:t>I. Наименование объекта</w:t>
      </w:r>
    </w:p>
    <w:bookmarkEnd w:id="24"/>
    <w:p w:rsidR="00000000" w:rsidRDefault="00CA421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2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10262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  <w:p w:rsidR="00000000" w:rsidRPr="00CA4211" w:rsidRDefault="00CA4211">
            <w:pPr>
              <w:pStyle w:val="a8"/>
            </w:pPr>
          </w:p>
        </w:tc>
      </w:tr>
    </w:tbl>
    <w:p w:rsidR="00000000" w:rsidRDefault="00CA42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8"/>
        <w:gridCol w:w="5054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5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bookmarkStart w:id="25" w:name="sub_28"/>
            <w:r w:rsidRPr="00CA4211">
              <w:lastRenderedPageBreak/>
              <w:t>II. Время создания (возникновения) объекта и (или) дата связанного с ним исторического события</w:t>
            </w:r>
            <w:bookmarkEnd w:id="25"/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</w:tbl>
    <w:p w:rsidR="00000000" w:rsidRDefault="00CA4211"/>
    <w:p w:rsidR="00000000" w:rsidRDefault="00CA4211">
      <w:bookmarkStart w:id="26" w:name="sub_19"/>
      <w:r>
        <w:t>III. Адрес (местонахождение) объекта</w:t>
      </w:r>
    </w:p>
    <w:bookmarkEnd w:id="26"/>
    <w:p w:rsidR="00000000" w:rsidRDefault="00CA4211">
      <w:r>
        <w:t>(по данным организации, осуществляющей государственный технический учет и (или) техническую инвентаризацию объектов градостроительной деятельности; для объектов, расположенных вне границ населенных пунктов или не имеющих адреса, - описание местополож</w:t>
      </w:r>
      <w:r>
        <w:t>ения)</w:t>
      </w:r>
    </w:p>
    <w:p w:rsidR="00000000" w:rsidRDefault="00CA421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4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1023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  <w:p w:rsidR="00000000" w:rsidRPr="00CA4211" w:rsidRDefault="00CA4211">
            <w:pPr>
              <w:pStyle w:val="a8"/>
            </w:pPr>
          </w:p>
          <w:p w:rsidR="00000000" w:rsidRPr="00CA4211" w:rsidRDefault="00CA4211">
            <w:pPr>
              <w:pStyle w:val="a8"/>
            </w:pPr>
          </w:p>
        </w:tc>
      </w:tr>
    </w:tbl>
    <w:p w:rsidR="00000000" w:rsidRDefault="00CA4211"/>
    <w:p w:rsidR="00000000" w:rsidRDefault="00CA4211">
      <w:bookmarkStart w:id="27" w:name="sub_20"/>
      <w:r>
        <w:t>IV. Вид объекта</w:t>
      </w:r>
    </w:p>
    <w:bookmarkEnd w:id="27"/>
    <w:p w:rsidR="00000000" w:rsidRDefault="00CA421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4"/>
        <w:gridCol w:w="3441"/>
        <w:gridCol w:w="4039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2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Памятник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Ансамбль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Достопримечательное место</w:t>
            </w:r>
          </w:p>
        </w:tc>
      </w:tr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2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</w:tbl>
    <w:p w:rsidR="00000000" w:rsidRDefault="00CA4211"/>
    <w:p w:rsidR="00000000" w:rsidRDefault="00CA4211">
      <w:bookmarkStart w:id="28" w:name="sub_21"/>
      <w:r>
        <w:t>V. Общая видовая принадлежность объекта</w:t>
      </w:r>
    </w:p>
    <w:bookmarkEnd w:id="28"/>
    <w:p w:rsidR="00000000" w:rsidRDefault="00CA421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1790"/>
        <w:gridCol w:w="3163"/>
        <w:gridCol w:w="3631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Памятник археологии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Памятник истории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Памятник градостроительства и архитектуры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  <w:jc w:val="center"/>
            </w:pPr>
            <w:r w:rsidRPr="00CA4211">
              <w:t>Памятник монументального искусства</w:t>
            </w:r>
          </w:p>
        </w:tc>
      </w:tr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</w:tbl>
    <w:p w:rsidR="00000000" w:rsidRDefault="00CA4211"/>
    <w:p w:rsidR="00000000" w:rsidRDefault="00CA4211">
      <w:bookmarkStart w:id="29" w:name="sub_22"/>
      <w:r>
        <w:t>VI. Общее описание объекта и вывод об его историко-культурной ценности</w:t>
      </w:r>
    </w:p>
    <w:bookmarkEnd w:id="29"/>
    <w:p w:rsidR="00000000" w:rsidRDefault="00CA421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2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10262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  <w:p w:rsidR="00000000" w:rsidRPr="00CA4211" w:rsidRDefault="00CA4211">
            <w:pPr>
              <w:pStyle w:val="a8"/>
            </w:pPr>
          </w:p>
        </w:tc>
      </w:tr>
    </w:tbl>
    <w:p w:rsidR="00000000" w:rsidRDefault="00CA4211"/>
    <w:p w:rsidR="00000000" w:rsidRDefault="00CA4211">
      <w:bookmarkStart w:id="30" w:name="sub_23"/>
      <w:r>
        <w:t>VII. Использование объекта культурного наследия или пользователь</w:t>
      </w:r>
    </w:p>
    <w:bookmarkEnd w:id="30"/>
    <w:p w:rsidR="00000000" w:rsidRDefault="00CA421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2"/>
        <w:gridCol w:w="959"/>
        <w:gridCol w:w="279"/>
        <w:gridCol w:w="3588"/>
        <w:gridCol w:w="806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Музеи, архивы, библиотеки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Организации торговли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Организации науки и образования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Организации общественного питания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Театрально-зрелищные организации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Гостиницы, отели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Органы власти и управления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Офисные помещения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Воинские части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Жилье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Религиозные организации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Парки, сады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Организации здравоохранения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Некрополи, захоронения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Организации транспорта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Не используется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Производственные организации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Иное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</w:tbl>
    <w:p w:rsidR="00000000" w:rsidRDefault="00CA4211"/>
    <w:p w:rsidR="00000000" w:rsidRDefault="00CA4211">
      <w:r>
        <w:t>Примечания</w:t>
      </w:r>
    </w:p>
    <w:p w:rsidR="00000000" w:rsidRDefault="00CA421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2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10262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  <w:p w:rsidR="00000000" w:rsidRPr="00CA4211" w:rsidRDefault="00CA4211">
            <w:pPr>
              <w:pStyle w:val="a8"/>
            </w:pPr>
          </w:p>
        </w:tc>
      </w:tr>
    </w:tbl>
    <w:p w:rsidR="00000000" w:rsidRDefault="00CA4211"/>
    <w:p w:rsidR="00000000" w:rsidRDefault="00CA4211">
      <w:bookmarkStart w:id="31" w:name="sub_24"/>
      <w:r>
        <w:lastRenderedPageBreak/>
        <w:t>VIII. Сведения о дате и обстоятельствах выявления (обнаружения) объекта</w:t>
      </w:r>
    </w:p>
    <w:bookmarkEnd w:id="31"/>
    <w:p w:rsidR="00000000" w:rsidRDefault="00CA421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2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10262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  <w:p w:rsidR="00000000" w:rsidRPr="00CA4211" w:rsidRDefault="00CA4211">
            <w:pPr>
              <w:pStyle w:val="a8"/>
            </w:pPr>
          </w:p>
        </w:tc>
      </w:tr>
    </w:tbl>
    <w:p w:rsidR="00000000" w:rsidRDefault="00CA4211"/>
    <w:p w:rsidR="00000000" w:rsidRDefault="00CA4211">
      <w:r>
        <w:t>Составитель учетной карты</w:t>
      </w:r>
    </w:p>
    <w:p w:rsidR="00000000" w:rsidRDefault="00CA421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8"/>
        <w:gridCol w:w="2323"/>
        <w:gridCol w:w="2957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должность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подпись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инициалы, фамилия</w:t>
            </w:r>
          </w:p>
        </w:tc>
      </w:tr>
    </w:tbl>
    <w:p w:rsidR="00000000" w:rsidRDefault="00CA4211"/>
    <w:p w:rsidR="00000000" w:rsidRDefault="00CA4211">
      <w:r>
        <w:t>Уполномоченное должностное лицо органа охраны объектов культурного наследия</w:t>
      </w:r>
    </w:p>
    <w:p w:rsidR="00000000" w:rsidRDefault="00CA421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8"/>
        <w:gridCol w:w="2323"/>
        <w:gridCol w:w="2957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</w:p>
        </w:tc>
      </w:tr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должность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подпись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A4211" w:rsidRDefault="00CA4211">
            <w:pPr>
              <w:pStyle w:val="a8"/>
            </w:pPr>
            <w:r w:rsidRPr="00CA4211">
              <w:t>инициалы, фамилия</w:t>
            </w:r>
          </w:p>
        </w:tc>
      </w:tr>
    </w:tbl>
    <w:p w:rsidR="00000000" w:rsidRDefault="00CA4211"/>
    <w:p w:rsidR="00000000" w:rsidRDefault="00CA4211">
      <w:r>
        <w:t>М.П.</w:t>
      </w:r>
    </w:p>
    <w:p w:rsidR="00000000" w:rsidRDefault="00CA4211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"/>
        <w:gridCol w:w="236"/>
        <w:gridCol w:w="240"/>
        <w:gridCol w:w="254"/>
        <w:gridCol w:w="240"/>
        <w:gridCol w:w="269"/>
        <w:gridCol w:w="236"/>
        <w:gridCol w:w="254"/>
        <w:gridCol w:w="236"/>
        <w:gridCol w:w="274"/>
        <w:gridCol w:w="1601"/>
      </w:tblGrid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CA4211" w:rsidRDefault="00CA4211">
            <w:pPr>
              <w:pStyle w:val="a8"/>
            </w:pPr>
          </w:p>
          <w:p w:rsidR="00000000" w:rsidRPr="00CA4211" w:rsidRDefault="00CA4211">
            <w:pPr>
              <w:pStyle w:val="a8"/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CA4211" w:rsidRDefault="00CA4211">
            <w:pPr>
              <w:pStyle w:val="a8"/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Pr="00CA4211" w:rsidRDefault="00CA4211">
            <w:pPr>
              <w:pStyle w:val="a8"/>
              <w:jc w:val="center"/>
            </w:pPr>
            <w:r w:rsidRPr="00CA4211">
              <w:t>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CA4211" w:rsidRDefault="00CA4211">
            <w:pPr>
              <w:pStyle w:val="a8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CA4211" w:rsidRDefault="00CA4211">
            <w:pPr>
              <w:pStyle w:val="a8"/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Pr="00CA4211" w:rsidRDefault="00CA4211">
            <w:pPr>
              <w:pStyle w:val="a8"/>
              <w:jc w:val="center"/>
            </w:pPr>
            <w:r w:rsidRPr="00CA4211">
              <w:t>.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CA4211" w:rsidRDefault="00CA4211">
            <w:pPr>
              <w:pStyle w:val="a8"/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CA4211" w:rsidRDefault="00CA4211">
            <w:pPr>
              <w:pStyle w:val="a8"/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CA4211" w:rsidRDefault="00CA4211">
            <w:pPr>
              <w:pStyle w:val="a8"/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Pr="00CA4211" w:rsidRDefault="00CA4211">
            <w:pPr>
              <w:pStyle w:val="a8"/>
            </w:pP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Pr="00CA4211" w:rsidRDefault="00CA4211">
            <w:pPr>
              <w:pStyle w:val="a8"/>
            </w:pPr>
            <w:r w:rsidRPr="00CA4211">
              <w:t>г.</w:t>
            </w:r>
          </w:p>
        </w:tc>
      </w:tr>
      <w:tr w:rsidR="00000000" w:rsidRPr="00CA4211">
        <w:tblPrEx>
          <w:tblCellMar>
            <w:top w:w="0" w:type="dxa"/>
            <w:bottom w:w="0" w:type="dxa"/>
          </w:tblCellMar>
        </w:tblPrEx>
        <w:tc>
          <w:tcPr>
            <w:tcW w:w="40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CA4211" w:rsidRDefault="00CA4211">
            <w:pPr>
              <w:pStyle w:val="a8"/>
              <w:jc w:val="center"/>
            </w:pPr>
            <w:r w:rsidRPr="00CA4211">
              <w:t>Дата составления учетной карты</w:t>
            </w:r>
            <w:r w:rsidRPr="00CA4211">
              <w:br/>
            </w:r>
            <w:r w:rsidRPr="00CA4211">
              <w:t>(число, месяц, год)</w:t>
            </w:r>
          </w:p>
        </w:tc>
      </w:tr>
    </w:tbl>
    <w:p w:rsidR="00CA4211" w:rsidRDefault="00CA4211"/>
    <w:sectPr w:rsidR="00CA421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603"/>
    <w:rsid w:val="00070603"/>
    <w:rsid w:val="005C7E1A"/>
    <w:rsid w:val="00CA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58C3A3-B9D3-4ED5-8460-8EC951C3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сылка на официальную публикацию"/>
    <w:basedOn w:val="a"/>
    <w:next w:val="a"/>
    <w:uiPriority w:val="99"/>
  </w:style>
  <w:style w:type="character" w:customStyle="1" w:styleId="ab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480.0" TargetMode="External"/><Relationship Id="rId13" Type="http://schemas.openxmlformats.org/officeDocument/2006/relationships/hyperlink" Target="garantF1://12027232.2002" TargetMode="External"/><Relationship Id="rId18" Type="http://schemas.openxmlformats.org/officeDocument/2006/relationships/hyperlink" Target="garantF1://12027232.20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88356.0" TargetMode="External"/><Relationship Id="rId12" Type="http://schemas.openxmlformats.org/officeDocument/2006/relationships/hyperlink" Target="garantF1://10003000.65" TargetMode="External"/><Relationship Id="rId17" Type="http://schemas.openxmlformats.org/officeDocument/2006/relationships/hyperlink" Target="garantF1://12027232.2601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7232.200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88356.5219" TargetMode="External"/><Relationship Id="rId11" Type="http://schemas.openxmlformats.org/officeDocument/2006/relationships/hyperlink" Target="garantF1://12027232.1502" TargetMode="External"/><Relationship Id="rId5" Type="http://schemas.openxmlformats.org/officeDocument/2006/relationships/hyperlink" Target="garantF1://12027232.15" TargetMode="External"/><Relationship Id="rId15" Type="http://schemas.openxmlformats.org/officeDocument/2006/relationships/hyperlink" Target="garantF1://12027232.2002" TargetMode="External"/><Relationship Id="rId10" Type="http://schemas.openxmlformats.org/officeDocument/2006/relationships/hyperlink" Target="garantF1://57302077.2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97399.0" TargetMode="External"/><Relationship Id="rId14" Type="http://schemas.openxmlformats.org/officeDocument/2006/relationships/hyperlink" Target="garantF1://12027232.2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1554</Words>
  <Characters>8862</Characters>
  <Application>Microsoft Office Word</Application>
  <DocSecurity>0</DocSecurity>
  <Lines>73</Lines>
  <Paragraphs>20</Paragraphs>
  <ScaleCrop>false</ScaleCrop>
  <Company>НПП "Гарант-Сервис"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2019-07-05T06:20:00Z</dcterms:created>
  <dcterms:modified xsi:type="dcterms:W3CDTF">2019-07-05T06:20:00Z</dcterms:modified>
</cp:coreProperties>
</file>